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1D7F79" w:rsidRDefault="000911B5" w:rsidP="001D7F79">
            <w:r>
              <w:t>Doctora en Derecho</w:t>
            </w:r>
          </w:p>
          <w:p w:rsidR="002021DC" w:rsidRDefault="000911B5" w:rsidP="001D7F79">
            <w:r>
              <w:t xml:space="preserve">Profesora Contratada Doctora </w:t>
            </w:r>
          </w:p>
          <w:p w:rsidR="000911B5" w:rsidRDefault="000911B5" w:rsidP="001D7F79">
            <w:r>
              <w:t>11 años como profesora a tiempo completo</w:t>
            </w:r>
          </w:p>
          <w:p w:rsidR="00CC0224" w:rsidRDefault="00CC0224" w:rsidP="001D7F79">
            <w:r>
              <w:t xml:space="preserve">Sexenios 2 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911B5" w:rsidRDefault="000911B5" w:rsidP="008F7C86">
            <w:r>
              <w:t>Derecho Urbanístico</w:t>
            </w:r>
          </w:p>
          <w:p w:rsidR="000911B5" w:rsidRDefault="000911B5" w:rsidP="008F7C86">
            <w:r>
              <w:t>Expropiación forzosa</w:t>
            </w:r>
          </w:p>
          <w:p w:rsidR="000911B5" w:rsidRDefault="000911B5" w:rsidP="008F7C86">
            <w:r>
              <w:t>Responsabilidad patrimonial</w:t>
            </w:r>
          </w:p>
          <w:p w:rsidR="000911B5" w:rsidRDefault="000911B5" w:rsidP="008F7C86">
            <w:r>
              <w:t>Jurisdicción contencioso-administrativa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804FD" w:rsidRPr="006804FD" w:rsidRDefault="000911B5" w:rsidP="006804FD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567" w:hanging="426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6804FD">
              <w:rPr>
                <w:rFonts w:ascii="Calibri" w:hAnsi="Calibri"/>
              </w:rPr>
              <w:t>Miembro del Proyecto</w:t>
            </w:r>
            <w:r w:rsidR="006804FD" w:rsidRPr="006804FD">
              <w:rPr>
                <w:rFonts w:ascii="Calibri" w:hAnsi="Calibri"/>
              </w:rPr>
              <w:t xml:space="preserve"> </w:t>
            </w:r>
            <w:r w:rsidR="006804FD" w:rsidRPr="006804FD">
              <w:rPr>
                <w:rFonts w:ascii="Calibri" w:eastAsia="Times New Roman" w:hAnsi="Calibri" w:cs="Times New Roman"/>
                <w:lang w:eastAsia="es-ES"/>
              </w:rPr>
              <w:t>La nueva regulación del recurso de casación en el orden jurisdiccional contencioso-administrativo”; Proyecto MINECO (DER2016-80650-P).</w:t>
            </w:r>
          </w:p>
          <w:p w:rsidR="006804FD" w:rsidRPr="006804FD" w:rsidRDefault="006804FD" w:rsidP="006804FD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567" w:hanging="426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6804FD">
              <w:rPr>
                <w:rFonts w:ascii="Calibri" w:eastAsia="Times New Roman" w:hAnsi="Calibri" w:cs="Times New Roman"/>
                <w:lang w:eastAsia="es-ES"/>
              </w:rPr>
              <w:t>Miembro del Proyecto “Defensa de la competencia y crisis económica y financiera. Problemas y desafíos”; Proyecto MICINN  (DER2012-39127-C02-01).</w:t>
            </w:r>
          </w:p>
          <w:p w:rsidR="006804FD" w:rsidRPr="006804FD" w:rsidRDefault="006804FD" w:rsidP="006804FD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567" w:hanging="426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6804FD">
              <w:rPr>
                <w:rFonts w:ascii="Calibri" w:eastAsia="Times New Roman" w:hAnsi="Calibri" w:cs="Times New Roman"/>
                <w:lang w:eastAsia="es-ES"/>
              </w:rPr>
              <w:t>Miembro del Proyecto “Los servicios públicos en la encrucijada: crisis y renovación”, Proyecto, MICINN (DER/2012-39692-C03-02).</w:t>
            </w:r>
          </w:p>
          <w:p w:rsidR="006804FD" w:rsidRPr="006804FD" w:rsidRDefault="006804FD" w:rsidP="006804FD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567" w:hanging="426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6804FD">
              <w:rPr>
                <w:rFonts w:ascii="Calibri" w:eastAsia="Times New Roman" w:hAnsi="Calibri" w:cs="Times New Roman"/>
                <w:lang w:eastAsia="es-ES"/>
              </w:rPr>
              <w:t>Miembro del Proyecto “Defensa de la Competencia”, Proyecto MICINN (DER2009-14273-C02-01).</w:t>
            </w:r>
          </w:p>
          <w:p w:rsidR="006804FD" w:rsidRPr="006804FD" w:rsidRDefault="006804FD" w:rsidP="006804FD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567" w:hanging="426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6804FD">
              <w:rPr>
                <w:rFonts w:ascii="Calibri" w:eastAsia="Times New Roman" w:hAnsi="Calibri" w:cs="Times New Roman"/>
                <w:lang w:eastAsia="es-ES"/>
              </w:rPr>
              <w:t>Miembro del Proyecto “Aspectos jurídicos de la liberalización económica y de la defensa de la competencia (II). Especial atención a la defensa de la competencia (SEJ2005-09016).</w:t>
            </w:r>
          </w:p>
          <w:p w:rsidR="006804FD" w:rsidRDefault="006804FD" w:rsidP="006804FD">
            <w:pPr>
              <w:jc w:val="both"/>
            </w:pP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i/>
                <w:lang w:eastAsia="es-ES"/>
              </w:rPr>
              <w:t>La vinculación singular en la normativa sobre suelo y urbanismo</w:t>
            </w:r>
            <w:r w:rsidRPr="00317966">
              <w:rPr>
                <w:rFonts w:eastAsia="Times New Roman" w:cs="Times New Roman"/>
                <w:lang w:eastAsia="es-ES"/>
              </w:rPr>
              <w:t>, Aranzadi, 2015.</w:t>
            </w:r>
          </w:p>
          <w:p w:rsidR="000911B5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i/>
                <w:lang w:eastAsia="es-ES"/>
              </w:rPr>
              <w:t>El derecho de propiedad del suelo: de la Constitución a la ordenación urbana</w:t>
            </w:r>
            <w:r w:rsidRPr="00317966">
              <w:rPr>
                <w:rFonts w:eastAsia="Times New Roman" w:cs="Times New Roman"/>
                <w:lang w:eastAsia="es-ES"/>
              </w:rPr>
              <w:t xml:space="preserve">, </w:t>
            </w:r>
            <w:proofErr w:type="spellStart"/>
            <w:r w:rsidRPr="00317966">
              <w:rPr>
                <w:rFonts w:eastAsia="Times New Roman" w:cs="Times New Roman"/>
                <w:lang w:eastAsia="es-ES"/>
              </w:rPr>
              <w:t>Civitas</w:t>
            </w:r>
            <w:proofErr w:type="spellEnd"/>
            <w:r w:rsidRPr="00317966">
              <w:rPr>
                <w:rFonts w:eastAsia="Times New Roman" w:cs="Times New Roman"/>
                <w:lang w:eastAsia="es-ES"/>
              </w:rPr>
              <w:t>, 2009.</w:t>
            </w:r>
          </w:p>
          <w:p w:rsidR="00317966" w:rsidRPr="00317966" w:rsidRDefault="00317966" w:rsidP="00317966">
            <w:pPr>
              <w:spacing w:line="276" w:lineRule="auto"/>
              <w:ind w:left="567"/>
              <w:jc w:val="both"/>
              <w:rPr>
                <w:rFonts w:eastAsia="Times New Roman" w:cs="Times New Roman"/>
                <w:lang w:eastAsia="es-ES"/>
              </w:rPr>
            </w:pP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i/>
                <w:lang w:eastAsia="es-ES"/>
              </w:rPr>
              <w:t>El problema de la valoración del suelo: el modelo inglés</w:t>
            </w:r>
            <w:r w:rsidRPr="00317966">
              <w:rPr>
                <w:rFonts w:eastAsia="Times New Roman" w:cs="Times New Roman"/>
                <w:lang w:eastAsia="es-ES"/>
              </w:rPr>
              <w:t>, Aranzadi, 2007.</w:t>
            </w: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lang w:eastAsia="es-ES"/>
              </w:rPr>
              <w:t>“Reflexiones en torno a la doctrina de la racionalidad y la razonabilidad de la conducta administrativa en la responsabilidad patrimonial por anulación de acto administrativo”, GARCÍA DE ENTERRÍA, E. y ALONSO GARCÍA, R. (</w:t>
            </w:r>
            <w:proofErr w:type="spellStart"/>
            <w:r w:rsidRPr="00317966">
              <w:rPr>
                <w:rFonts w:eastAsia="Times New Roman" w:cs="Times New Roman"/>
                <w:lang w:eastAsia="es-ES"/>
              </w:rPr>
              <w:t>coords</w:t>
            </w:r>
            <w:proofErr w:type="spellEnd"/>
            <w:r w:rsidRPr="00317966">
              <w:rPr>
                <w:rFonts w:eastAsia="Times New Roman" w:cs="Times New Roman"/>
                <w:lang w:eastAsia="es-ES"/>
              </w:rPr>
              <w:t xml:space="preserve">.), </w:t>
            </w:r>
            <w:r w:rsidRPr="00317966">
              <w:rPr>
                <w:rFonts w:eastAsia="Times New Roman" w:cs="Times New Roman"/>
                <w:i/>
                <w:lang w:eastAsia="es-ES"/>
              </w:rPr>
              <w:t xml:space="preserve">Administración y Justicia. Un estudio jurisprudencial. </w:t>
            </w:r>
            <w:proofErr w:type="spellStart"/>
            <w:r w:rsidRPr="00317966">
              <w:rPr>
                <w:rFonts w:eastAsia="Times New Roman" w:cs="Times New Roman"/>
                <w:i/>
                <w:lang w:eastAsia="es-ES"/>
              </w:rPr>
              <w:t>Liber</w:t>
            </w:r>
            <w:proofErr w:type="spellEnd"/>
            <w:r w:rsidRPr="00317966">
              <w:rPr>
                <w:rFonts w:eastAsia="Times New Roman" w:cs="Times New Roman"/>
                <w:i/>
                <w:lang w:eastAsia="es-ES"/>
              </w:rPr>
              <w:t xml:space="preserve"> </w:t>
            </w:r>
            <w:proofErr w:type="spellStart"/>
            <w:r w:rsidRPr="00317966">
              <w:rPr>
                <w:rFonts w:eastAsia="Times New Roman" w:cs="Times New Roman"/>
                <w:i/>
                <w:lang w:eastAsia="es-ES"/>
              </w:rPr>
              <w:t>amicorum</w:t>
            </w:r>
            <w:proofErr w:type="spellEnd"/>
            <w:r w:rsidRPr="00317966">
              <w:rPr>
                <w:rFonts w:eastAsia="Times New Roman" w:cs="Times New Roman"/>
                <w:i/>
                <w:lang w:eastAsia="es-ES"/>
              </w:rPr>
              <w:t xml:space="preserve"> Tomás-Ramón Fernández</w:t>
            </w:r>
            <w:r w:rsidRPr="00317966">
              <w:rPr>
                <w:rFonts w:eastAsia="Times New Roman" w:cs="Times New Roman"/>
                <w:lang w:eastAsia="es-ES"/>
              </w:rPr>
              <w:t xml:space="preserve">, </w:t>
            </w:r>
            <w:proofErr w:type="spellStart"/>
            <w:r w:rsidRPr="00317966">
              <w:rPr>
                <w:rFonts w:eastAsia="Times New Roman" w:cs="Times New Roman"/>
                <w:lang w:eastAsia="es-ES"/>
              </w:rPr>
              <w:t>Civitas</w:t>
            </w:r>
            <w:proofErr w:type="spellEnd"/>
            <w:r w:rsidRPr="00317966">
              <w:rPr>
                <w:rFonts w:eastAsia="Times New Roman" w:cs="Times New Roman"/>
                <w:lang w:eastAsia="es-ES"/>
              </w:rPr>
              <w:t>, 2012, págs. 1781-1806.</w:t>
            </w: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cs="Times New Roman"/>
              </w:rPr>
            </w:pPr>
            <w:r w:rsidRPr="00317966">
              <w:rPr>
                <w:rFonts w:cs="Times New Roman"/>
              </w:rPr>
              <w:lastRenderedPageBreak/>
              <w:t xml:space="preserve">“La indemnización por anulación de título habilitante en el Texto Refundido de la Ley de Suelo y Rehabilitación urbana: algunas reflexiones sobre su naturaleza, nacimiento y cuantificación”, </w:t>
            </w:r>
            <w:r w:rsidRPr="00317966">
              <w:rPr>
                <w:rFonts w:cs="Times New Roman"/>
                <w:i/>
              </w:rPr>
              <w:t>RAP</w:t>
            </w:r>
            <w:r w:rsidRPr="00317966">
              <w:rPr>
                <w:rFonts w:cs="Times New Roman"/>
              </w:rPr>
              <w:t xml:space="preserve"> núm. 207, 2018, págs. 209-249.</w:t>
            </w: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cs="Times New Roman"/>
              </w:rPr>
            </w:pPr>
            <w:r w:rsidRPr="00317966">
              <w:rPr>
                <w:rFonts w:cs="Times New Roman"/>
              </w:rPr>
              <w:t xml:space="preserve">“El derecho de retasación urbanística y su aplicación jurisprudencial”, </w:t>
            </w:r>
            <w:r w:rsidRPr="00317966">
              <w:rPr>
                <w:rFonts w:cs="Times New Roman"/>
                <w:i/>
              </w:rPr>
              <w:t>RUE</w:t>
            </w:r>
            <w:r w:rsidRPr="00317966">
              <w:rPr>
                <w:rFonts w:cs="Times New Roman"/>
              </w:rPr>
              <w:t xml:space="preserve"> núm. 40, 2017, págs. 57-76.</w:t>
            </w: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lang w:eastAsia="es-ES"/>
              </w:rPr>
              <w:t xml:space="preserve">“Sobre el requisito de la antijuridicidad en la responsabilidad patrimonial por anulación de acto administrativo”, </w:t>
            </w:r>
            <w:r w:rsidRPr="00317966">
              <w:rPr>
                <w:rFonts w:eastAsia="Times New Roman" w:cs="Times New Roman"/>
                <w:i/>
                <w:lang w:eastAsia="es-ES"/>
              </w:rPr>
              <w:t xml:space="preserve">REDA </w:t>
            </w:r>
            <w:r w:rsidRPr="00317966">
              <w:rPr>
                <w:rFonts w:eastAsia="Times New Roman" w:cs="Times New Roman"/>
                <w:lang w:eastAsia="es-ES"/>
              </w:rPr>
              <w:t>núm. 168, 2015, págs. 145-167.</w:t>
            </w: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lang w:eastAsia="es-ES"/>
              </w:rPr>
              <w:t xml:space="preserve">“La problemática conceptualización jurídica de la indemnización por vinculación singular y su trascendencia aplicativa”, </w:t>
            </w:r>
            <w:r w:rsidRPr="00317966">
              <w:rPr>
                <w:rFonts w:eastAsia="Times New Roman" w:cs="Times New Roman"/>
                <w:i/>
                <w:lang w:eastAsia="es-ES"/>
              </w:rPr>
              <w:t>RAP</w:t>
            </w:r>
            <w:r w:rsidRPr="00317966">
              <w:rPr>
                <w:rFonts w:eastAsia="Times New Roman" w:cs="Times New Roman"/>
                <w:lang w:eastAsia="es-ES"/>
              </w:rPr>
              <w:t xml:space="preserve"> núm. 196, 2015, págs. 171-207. </w:t>
            </w: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lang w:eastAsia="es-ES"/>
              </w:rPr>
              <w:t xml:space="preserve">“Sobre el carácter objetivo de la responsabilidad patrimonial administrativa. Antijuridicidad y atención al tipo de funcionamiento administrativo”, </w:t>
            </w:r>
            <w:r w:rsidRPr="00317966">
              <w:rPr>
                <w:rFonts w:eastAsia="Times New Roman" w:cs="Times New Roman"/>
                <w:i/>
                <w:lang w:eastAsia="es-ES"/>
              </w:rPr>
              <w:t>RAP</w:t>
            </w:r>
            <w:r w:rsidRPr="00317966">
              <w:rPr>
                <w:rFonts w:eastAsia="Times New Roman" w:cs="Times New Roman"/>
                <w:lang w:eastAsia="es-ES"/>
              </w:rPr>
              <w:t xml:space="preserve"> núm. 187, 2012, págs. 97-139.</w:t>
            </w:r>
          </w:p>
          <w:p w:rsidR="000911B5" w:rsidRPr="00317966" w:rsidRDefault="000911B5" w:rsidP="00317966">
            <w:pPr>
              <w:numPr>
                <w:ilvl w:val="0"/>
                <w:numId w:val="1"/>
              </w:numPr>
              <w:spacing w:line="276" w:lineRule="auto"/>
              <w:ind w:left="567" w:hanging="426"/>
              <w:jc w:val="both"/>
              <w:rPr>
                <w:rFonts w:eastAsia="Times New Roman" w:cs="Times New Roman"/>
                <w:lang w:eastAsia="es-ES"/>
              </w:rPr>
            </w:pPr>
            <w:r w:rsidRPr="00317966">
              <w:rPr>
                <w:rFonts w:eastAsia="Times New Roman" w:cs="Times New Roman"/>
                <w:lang w:eastAsia="es-ES"/>
              </w:rPr>
              <w:t xml:space="preserve">“Propiedad privada, función social y texto refundido de la Ley de Suelo”, </w:t>
            </w:r>
            <w:r w:rsidRPr="00317966">
              <w:rPr>
                <w:rFonts w:eastAsia="Times New Roman" w:cs="Times New Roman"/>
                <w:i/>
                <w:lang w:eastAsia="es-ES"/>
              </w:rPr>
              <w:t>RUE</w:t>
            </w:r>
            <w:r w:rsidRPr="00317966">
              <w:rPr>
                <w:rFonts w:eastAsia="Times New Roman" w:cs="Times New Roman"/>
                <w:lang w:eastAsia="es-ES"/>
              </w:rPr>
              <w:t xml:space="preserve"> núm. 20, 2009, págs. 73-94.</w:t>
            </w:r>
          </w:p>
          <w:p w:rsidR="00DA2581" w:rsidRPr="006504FE" w:rsidRDefault="00DA2581" w:rsidP="000911B5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911B5" w:rsidRDefault="000911B5" w:rsidP="00C875F1">
            <w:r>
              <w:t xml:space="preserve">2 contratos al amparo del art. 83 LOU </w:t>
            </w:r>
          </w:p>
          <w:p w:rsidR="001D7F79" w:rsidRDefault="000911B5" w:rsidP="00C875F1">
            <w:r>
              <w:t>Encargada de la sección Actualidad Revista Aranzadi de Urbanismo y Edificación.</w:t>
            </w:r>
          </w:p>
          <w:p w:rsidR="000911B5" w:rsidRDefault="000911B5" w:rsidP="00C875F1">
            <w:r>
              <w:t xml:space="preserve">Coordinación de la </w:t>
            </w:r>
            <w:proofErr w:type="spellStart"/>
            <w:r>
              <w:t>network</w:t>
            </w:r>
            <w:proofErr w:type="spellEnd"/>
            <w:r>
              <w:t xml:space="preserve"> internacional </w:t>
            </w:r>
            <w:proofErr w:type="spellStart"/>
            <w:r>
              <w:t>Ius</w:t>
            </w:r>
            <w:proofErr w:type="spellEnd"/>
            <w:r>
              <w:t xml:space="preserve"> </w:t>
            </w:r>
            <w:proofErr w:type="spellStart"/>
            <w:r>
              <w:t>Publicum</w:t>
            </w:r>
            <w:proofErr w:type="spellEnd"/>
          </w:p>
          <w:p w:rsidR="000911B5" w:rsidRDefault="000911B5" w:rsidP="00C875F1"/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2A" w:rsidRDefault="0053522A" w:rsidP="001D7F79">
      <w:pPr>
        <w:spacing w:after="0" w:line="240" w:lineRule="auto"/>
      </w:pPr>
      <w:r>
        <w:separator/>
      </w:r>
    </w:p>
  </w:endnote>
  <w:endnote w:type="continuationSeparator" w:id="0">
    <w:p w:rsidR="0053522A" w:rsidRDefault="0053522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2A" w:rsidRDefault="0053522A" w:rsidP="001D7F79">
      <w:pPr>
        <w:spacing w:after="0" w:line="240" w:lineRule="auto"/>
      </w:pPr>
      <w:r>
        <w:separator/>
      </w:r>
    </w:p>
  </w:footnote>
  <w:footnote w:type="continuationSeparator" w:id="0">
    <w:p w:rsidR="0053522A" w:rsidRDefault="0053522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048A"/>
    <w:multiLevelType w:val="hybridMultilevel"/>
    <w:tmpl w:val="3B0EFF60"/>
    <w:lvl w:ilvl="0" w:tplc="EEEC9B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1B4"/>
    <w:multiLevelType w:val="hybridMultilevel"/>
    <w:tmpl w:val="3342D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2BA"/>
    <w:multiLevelType w:val="hybridMultilevel"/>
    <w:tmpl w:val="3BC42A02"/>
    <w:lvl w:ilvl="0" w:tplc="F0C8B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EE9"/>
    <w:multiLevelType w:val="hybridMultilevel"/>
    <w:tmpl w:val="095ED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2B7C"/>
    <w:multiLevelType w:val="hybridMultilevel"/>
    <w:tmpl w:val="D55E06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5F5E"/>
    <w:multiLevelType w:val="hybridMultilevel"/>
    <w:tmpl w:val="D0F845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95B"/>
    <w:multiLevelType w:val="hybridMultilevel"/>
    <w:tmpl w:val="5CCEB0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6A9B"/>
    <w:rsid w:val="00007A67"/>
    <w:rsid w:val="000911B5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021DC"/>
    <w:rsid w:val="002726C7"/>
    <w:rsid w:val="00276124"/>
    <w:rsid w:val="002E0289"/>
    <w:rsid w:val="00317966"/>
    <w:rsid w:val="003237B4"/>
    <w:rsid w:val="003A369F"/>
    <w:rsid w:val="0043544B"/>
    <w:rsid w:val="004D76B6"/>
    <w:rsid w:val="00506DA3"/>
    <w:rsid w:val="0053522A"/>
    <w:rsid w:val="0055671E"/>
    <w:rsid w:val="005B38F9"/>
    <w:rsid w:val="005F3BA3"/>
    <w:rsid w:val="006504FE"/>
    <w:rsid w:val="006804FD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A19CC"/>
    <w:rsid w:val="008F7C86"/>
    <w:rsid w:val="00974CD4"/>
    <w:rsid w:val="00990AA2"/>
    <w:rsid w:val="00AA6974"/>
    <w:rsid w:val="00B32F6A"/>
    <w:rsid w:val="00CC0224"/>
    <w:rsid w:val="00CC3283"/>
    <w:rsid w:val="00CE075E"/>
    <w:rsid w:val="00DA2581"/>
    <w:rsid w:val="00DA6E98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C29CA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4A0C6-5DE2-47E1-B2B6-1A2D839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2019-07-22T15:20:00Z</dcterms:created>
  <dcterms:modified xsi:type="dcterms:W3CDTF">2019-07-22T15:20:00Z</dcterms:modified>
</cp:coreProperties>
</file>